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8D052" w14:textId="2A2A8718" w:rsidR="00320CC7" w:rsidRPr="00320CC7" w:rsidRDefault="00320CC7" w:rsidP="00320CC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20CC7">
        <w:rPr>
          <w:rFonts w:ascii="Times New Roman" w:hAnsi="Times New Roman" w:cs="Times New Roman"/>
          <w:b/>
          <w:bCs/>
          <w:color w:val="000000" w:themeColor="text1"/>
        </w:rPr>
        <w:t xml:space="preserve">SELÇUK ÜNİVERSİTESİ </w:t>
      </w:r>
      <w:r w:rsidR="000973BF">
        <w:rPr>
          <w:rFonts w:ascii="Times New Roman" w:hAnsi="Times New Roman" w:cs="Times New Roman"/>
          <w:b/>
          <w:bCs/>
          <w:color w:val="000000" w:themeColor="text1"/>
        </w:rPr>
        <w:t xml:space="preserve">2024 YILI </w:t>
      </w:r>
      <w:r w:rsidRPr="00320CC7">
        <w:rPr>
          <w:rFonts w:ascii="Times New Roman" w:hAnsi="Times New Roman" w:cs="Times New Roman"/>
          <w:b/>
          <w:bCs/>
          <w:color w:val="000000" w:themeColor="text1"/>
        </w:rPr>
        <w:t>KARBON AYAK İZİ</w:t>
      </w:r>
    </w:p>
    <w:p w14:paraId="01DB51F4" w14:textId="77777777" w:rsidR="00320CC7" w:rsidRDefault="00320CC7" w:rsidP="00320CC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5F4304D" w14:textId="77777777" w:rsidR="000973BF" w:rsidRDefault="00827889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20CC7">
        <w:rPr>
          <w:rFonts w:ascii="Times New Roman" w:hAnsi="Times New Roman" w:cs="Times New Roman"/>
          <w:color w:val="000000" w:themeColor="text1"/>
        </w:rPr>
        <w:t>Selçuk Üniversitesi, etkinliklerinin çoğunu merkez yerleşkeden yürütmektedir ve bu fiziki alan Selçuklu/Konya'da yer almaktadır. Üniversite bünyesinde 23 Fakülte, 7 Enstitü, 5 Yüksekokul, 1 Konservatuvar, 23 Meslek Yüksekokulu, 53 Araştırma ve Uygulama Merkezi Üniversitenin ana yapısını oluşturmaktadır.</w:t>
      </w:r>
      <w:r w:rsidR="000973BF">
        <w:rPr>
          <w:rFonts w:ascii="Times New Roman" w:hAnsi="Times New Roman" w:cs="Times New Roman"/>
          <w:color w:val="000000" w:themeColor="text1"/>
        </w:rPr>
        <w:t xml:space="preserve"> </w:t>
      </w:r>
    </w:p>
    <w:p w14:paraId="0FAEE334" w14:textId="77777777" w:rsid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34F082D" w14:textId="56BC2A68" w:rsid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Selçuk Üniversitesi:</w:t>
      </w:r>
    </w:p>
    <w:p w14:paraId="1A65D3B7" w14:textId="73EDB9CF" w:rsidR="000973BF" w:rsidRP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Toplam kampüs alanı: 7.108.469 m²</w:t>
      </w:r>
    </w:p>
    <w:p w14:paraId="4F77DBC9" w14:textId="77777777" w:rsidR="000973BF" w:rsidRP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Bina alanı: 309.467 m²</w:t>
      </w:r>
    </w:p>
    <w:p w14:paraId="443792B9" w14:textId="77777777" w:rsidR="000973BF" w:rsidRP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Orman alanı: 3.178.995 m²</w:t>
      </w:r>
    </w:p>
    <w:p w14:paraId="2304A1D8" w14:textId="77777777" w:rsidR="000973BF" w:rsidRP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Peyzaj alanı: 2.878.312 m²</w:t>
      </w:r>
    </w:p>
    <w:p w14:paraId="5F5BE8DB" w14:textId="03C19EC2" w:rsidR="00827889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Su tutan alan: 2.863.776 m²</w:t>
      </w:r>
    </w:p>
    <w:p w14:paraId="015BBBFD" w14:textId="77777777" w:rsidR="000973BF" w:rsidRP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Su tasarrufu uygulamaları: %50’den fazla</w:t>
      </w:r>
    </w:p>
    <w:p w14:paraId="37478E7C" w14:textId="77777777" w:rsidR="000973BF" w:rsidRP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Geri dönüştürülen su oranı: %50+</w:t>
      </w:r>
    </w:p>
    <w:p w14:paraId="4F320004" w14:textId="77777777" w:rsidR="000973BF" w:rsidRP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Verimli su cihazı kullanımı: %80+</w:t>
      </w:r>
    </w:p>
    <w:p w14:paraId="0BB3BD2A" w14:textId="4C377E02" w:rsid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- Arıtılmış su tüketimi: %75+</w:t>
      </w:r>
    </w:p>
    <w:p w14:paraId="6152A534" w14:textId="77777777" w:rsid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07E9E36E" w14:textId="47429B75" w:rsidR="000973BF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73BF">
        <w:rPr>
          <w:rFonts w:ascii="Times New Roman" w:hAnsi="Times New Roman" w:cs="Times New Roman"/>
          <w:color w:val="000000" w:themeColor="text1"/>
        </w:rPr>
        <w:t>Selçuk Üniversitesi’nin yıllık karbon salımı, mevcut yeşil alanların karbon tutma kapasitesine oldukça yakın bir düzeydedir. Enerji tüketiminin %76’sının yenilenebilir kaynaklardan sağlanması ve su verimliliği uygulamaları, üniversiteyi sürdürülebilirlik açısından üst seviyeye taşımaktadır.</w:t>
      </w:r>
    </w:p>
    <w:p w14:paraId="01FE311D" w14:textId="77777777" w:rsidR="000973BF" w:rsidRPr="00320CC7" w:rsidRDefault="000973BF" w:rsidP="000973B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4033FF9" w14:textId="68C275E7" w:rsidR="007F7948" w:rsidRPr="00320CC7" w:rsidRDefault="00827889" w:rsidP="007F794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20CC7">
        <w:rPr>
          <w:rFonts w:ascii="Times New Roman" w:hAnsi="Times New Roman" w:cs="Times New Roman"/>
          <w:color w:val="000000" w:themeColor="text1"/>
        </w:rPr>
        <w:t xml:space="preserve">AB'nin kurumsal karbon ayak izini analiz etmek amacıyla uluslararası ISO 14064/1 standardına dayalı yaşam döngüsü değerlendirmesi (LCA) kullanılmıştır. Bu standart, bir kuruluşun sera gazı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envanterinin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 tasarımı, geliştirilmesi, yönetimi, raporlanması ve doğrulanması için gereksinimleri belirlemiştir. Standarda göre hem doğrudan hem de dolaylı sera gazı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emisyon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 kaynakları Kapsam 1</w:t>
      </w:r>
      <w:r w:rsidR="007F7948" w:rsidRPr="00320CC7">
        <w:rPr>
          <w:rFonts w:ascii="Times New Roman" w:hAnsi="Times New Roman" w:cs="Times New Roman"/>
          <w:color w:val="000000" w:themeColor="text1"/>
        </w:rPr>
        <w:t xml:space="preserve"> ve</w:t>
      </w:r>
      <w:r w:rsidRPr="00320CC7">
        <w:rPr>
          <w:rFonts w:ascii="Times New Roman" w:hAnsi="Times New Roman" w:cs="Times New Roman"/>
          <w:color w:val="000000" w:themeColor="text1"/>
        </w:rPr>
        <w:t xml:space="preserve"> 2 kapsamında tanımlanmıştır. Kampüste kullanılan sıvılaştırılmış petrol gazının sabit ve mobil tüketiminden kaynaklanan doğrudan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emisyonlar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, Kapsam 1'de ele alınmaktadır. Kapsam 2, elektrik üretimi ve iletiminden kaynaklanan dolaylı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emisyonları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 içermektedir. </w:t>
      </w:r>
    </w:p>
    <w:p w14:paraId="7EAEAD87" w14:textId="5F731A49" w:rsidR="007F7948" w:rsidRPr="00320CC7" w:rsidRDefault="007F7948" w:rsidP="007F794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20CC7">
        <w:rPr>
          <w:rFonts w:ascii="Times New Roman" w:hAnsi="Times New Roman" w:cs="Times New Roman"/>
          <w:color w:val="000000" w:themeColor="text1"/>
        </w:rPr>
        <w:t>Kampüste her aktivitenin CO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20CC7">
        <w:rPr>
          <w:rFonts w:ascii="Times New Roman" w:hAnsi="Times New Roman" w:cs="Times New Roman"/>
          <w:color w:val="000000" w:themeColor="text1"/>
        </w:rPr>
        <w:t xml:space="preserve"> eşdeğerini belirlemek amacıyla Analiz için Sera Gazı Protokolü, Kurumsal Muhasebe ve Raporlama Standardı ve ISO14064/1-2 standartları kullanılmıştır.</w:t>
      </w:r>
    </w:p>
    <w:p w14:paraId="74F73AD7" w14:textId="3866DBFE" w:rsidR="007F7948" w:rsidRPr="00320CC7" w:rsidRDefault="007F7948" w:rsidP="007F794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20CC7">
        <w:rPr>
          <w:rFonts w:ascii="Times New Roman" w:hAnsi="Times New Roman" w:cs="Times New Roman"/>
          <w:color w:val="000000" w:themeColor="text1"/>
        </w:rPr>
        <w:t xml:space="preserve">Selçuk Üniversitesi kurumsal karbon ayak izi hesaplama çalışmasında kampüsten elde edilen veriler çoğaltılarak ilgili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emisyon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 faktörleri ile faaliyetlere göre emisyon verileri karbondioksit eşdeğeri (CO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Pr="00320CC7">
        <w:rPr>
          <w:rFonts w:ascii="Times New Roman" w:hAnsi="Times New Roman" w:cs="Times New Roman"/>
          <w:color w:val="000000" w:themeColor="text1"/>
        </w:rPr>
        <w:t>) cinsinden elde edilmiştir. CO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Pr="00320CC7">
        <w:rPr>
          <w:rFonts w:ascii="Times New Roman" w:hAnsi="Times New Roman" w:cs="Times New Roman"/>
          <w:color w:val="000000" w:themeColor="text1"/>
        </w:rPr>
        <w:t>, sağlanan sera gazının kütlesi ile küresel ısınma potansiyelinin (metan için 28 kez, N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20CC7">
        <w:rPr>
          <w:rFonts w:ascii="Times New Roman" w:hAnsi="Times New Roman" w:cs="Times New Roman"/>
          <w:color w:val="000000" w:themeColor="text1"/>
        </w:rPr>
        <w:t>O için 256 kez) çarpılmasıyla elde edilmiştir. Kyoto Protokolü'nde ve çalışmada sera gazları karbondioksit (CO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20CC7">
        <w:rPr>
          <w:rFonts w:ascii="Times New Roman" w:hAnsi="Times New Roman" w:cs="Times New Roman"/>
          <w:color w:val="000000" w:themeColor="text1"/>
        </w:rPr>
        <w:t>), azot oksit (N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20CC7">
        <w:rPr>
          <w:rFonts w:ascii="Times New Roman" w:hAnsi="Times New Roman" w:cs="Times New Roman"/>
          <w:color w:val="000000" w:themeColor="text1"/>
        </w:rPr>
        <w:t>O), metan (CH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320CC7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320CC7">
        <w:rPr>
          <w:rFonts w:ascii="Times New Roman" w:hAnsi="Times New Roman" w:cs="Times New Roman"/>
          <w:color w:val="000000" w:themeColor="text1"/>
        </w:rPr>
        <w:t>hidroflorokarbonlar</w:t>
      </w:r>
      <w:proofErr w:type="spellEnd"/>
      <w:r w:rsidRPr="00320CC7">
        <w:rPr>
          <w:rFonts w:ascii="Times New Roman" w:hAnsi="Times New Roman" w:cs="Times New Roman"/>
          <w:color w:val="000000" w:themeColor="text1"/>
        </w:rPr>
        <w:t xml:space="preserve"> (HFC), kükürt </w:t>
      </w:r>
      <w:proofErr w:type="spellStart"/>
      <w:r w:rsidRPr="00320CC7">
        <w:rPr>
          <w:rFonts w:ascii="Times New Roman" w:hAnsi="Times New Roman" w:cs="Times New Roman"/>
          <w:color w:val="000000" w:themeColor="text1"/>
        </w:rPr>
        <w:t>hekzaflorür</w:t>
      </w:r>
      <w:proofErr w:type="spellEnd"/>
      <w:r w:rsidRPr="00320CC7">
        <w:rPr>
          <w:rFonts w:ascii="Times New Roman" w:hAnsi="Times New Roman" w:cs="Times New Roman"/>
          <w:color w:val="000000" w:themeColor="text1"/>
        </w:rPr>
        <w:t xml:space="preserve"> (SF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Pr="00320CC7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320CC7">
        <w:rPr>
          <w:rFonts w:ascii="Times New Roman" w:hAnsi="Times New Roman" w:cs="Times New Roman"/>
          <w:color w:val="000000" w:themeColor="text1"/>
        </w:rPr>
        <w:t>perflorokarbonlar</w:t>
      </w:r>
      <w:proofErr w:type="spellEnd"/>
      <w:r w:rsidRPr="00320CC7">
        <w:rPr>
          <w:rFonts w:ascii="Times New Roman" w:hAnsi="Times New Roman" w:cs="Times New Roman"/>
          <w:color w:val="000000" w:themeColor="text1"/>
        </w:rPr>
        <w:t xml:space="preserve"> (PFC) ve soğutucu gazlar olarak belirlenmiştir. Sera gazlarının küresel ısınma potansiyeli</w:t>
      </w:r>
      <w:r w:rsidR="00574FD5" w:rsidRPr="00320CC7">
        <w:rPr>
          <w:rFonts w:ascii="Times New Roman" w:hAnsi="Times New Roman" w:cs="Times New Roman"/>
          <w:color w:val="000000" w:themeColor="text1"/>
        </w:rPr>
        <w:t xml:space="preserve"> için</w:t>
      </w:r>
      <w:r w:rsidRPr="00320C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20CC7">
        <w:rPr>
          <w:rFonts w:ascii="Times New Roman" w:hAnsi="Times New Roman" w:cs="Times New Roman"/>
          <w:color w:val="000000" w:themeColor="text1"/>
        </w:rPr>
        <w:t>Hükümetlerarası</w:t>
      </w:r>
      <w:proofErr w:type="spellEnd"/>
      <w:r w:rsidRPr="00320CC7">
        <w:rPr>
          <w:rFonts w:ascii="Times New Roman" w:hAnsi="Times New Roman" w:cs="Times New Roman"/>
          <w:color w:val="000000" w:themeColor="text1"/>
        </w:rPr>
        <w:t xml:space="preserve"> İklim Değişikliği Paneli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>IPCC, İklim Değişikliği-5. Değerlendirme Raporu (2013) ve İngiliz Hükümeti Çevre Bakanlığı tarafından yayınlanan DEFRA kılavuzu kullanılmıştır.</w:t>
      </w:r>
    </w:p>
    <w:p w14:paraId="364EC553" w14:textId="72082C12" w:rsidR="00527084" w:rsidRPr="008C68D5" w:rsidRDefault="0025183D" w:rsidP="0052708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5183D">
        <w:rPr>
          <w:rFonts w:ascii="Times New Roman" w:hAnsi="Times New Roman" w:cs="Times New Roman"/>
          <w:color w:val="000000" w:themeColor="text1"/>
        </w:rPr>
        <w:t>Selçuk Üni</w:t>
      </w:r>
      <w:r w:rsidR="000973BF">
        <w:rPr>
          <w:rFonts w:ascii="Times New Roman" w:hAnsi="Times New Roman" w:cs="Times New Roman"/>
          <w:color w:val="000000" w:themeColor="text1"/>
        </w:rPr>
        <w:t>versitesi Merkez Kampüsünün 2024</w:t>
      </w:r>
      <w:r w:rsidRPr="0025183D">
        <w:rPr>
          <w:rFonts w:ascii="Times New Roman" w:hAnsi="Times New Roman" w:cs="Times New Roman"/>
          <w:color w:val="000000" w:themeColor="text1"/>
        </w:rPr>
        <w:t xml:space="preserve"> yılındaki toplam karbon ayak izi, Kapsam 1 ve 2 kapsamında </w:t>
      </w:r>
      <w:r w:rsidR="000973BF" w:rsidRPr="000973BF">
        <w:rPr>
          <w:rFonts w:ascii="Times New Roman" w:hAnsi="Times New Roman" w:cs="Times New Roman"/>
          <w:color w:val="000000" w:themeColor="text1"/>
        </w:rPr>
        <w:t>7297</w:t>
      </w:r>
      <w:r w:rsidR="000973BF">
        <w:rPr>
          <w:rFonts w:ascii="Times New Roman" w:hAnsi="Times New Roman" w:cs="Times New Roman"/>
          <w:color w:val="000000" w:themeColor="text1"/>
        </w:rPr>
        <w:t xml:space="preserve"> t</w:t>
      </w:r>
      <w:r w:rsidRPr="0025183D">
        <w:rPr>
          <w:rFonts w:ascii="Times New Roman" w:hAnsi="Times New Roman" w:cs="Times New Roman"/>
          <w:color w:val="000000" w:themeColor="text1"/>
        </w:rPr>
        <w:t>CO2</w:t>
      </w:r>
      <w:r w:rsidR="000973BF">
        <w:rPr>
          <w:rFonts w:ascii="Times New Roman" w:hAnsi="Times New Roman" w:cs="Times New Roman"/>
          <w:color w:val="000000" w:themeColor="text1"/>
        </w:rPr>
        <w:t>’</w:t>
      </w:r>
      <w:r w:rsidRPr="0025183D">
        <w:rPr>
          <w:rFonts w:ascii="Times New Roman" w:hAnsi="Times New Roman" w:cs="Times New Roman"/>
          <w:color w:val="000000" w:themeColor="text1"/>
        </w:rPr>
        <w:t xml:space="preserve">e olmuştur. 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2021 referans yılı için her bir akademik birimden ve idari kurumlardan </w:t>
      </w:r>
      <w:r w:rsidR="001558BE" w:rsidRPr="008C68D5">
        <w:rPr>
          <w:rFonts w:ascii="Times New Roman" w:hAnsi="Times New Roman" w:cs="Times New Roman"/>
          <w:color w:val="000000" w:themeColor="text1"/>
        </w:rPr>
        <w:t>elde edilen verilerle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 </w:t>
      </w:r>
      <w:r w:rsidR="001558BE" w:rsidRPr="008C68D5">
        <w:rPr>
          <w:rFonts w:ascii="Times New Roman" w:hAnsi="Times New Roman" w:cs="Times New Roman"/>
          <w:color w:val="000000" w:themeColor="text1"/>
        </w:rPr>
        <w:t>ı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sı üretimi için kullanılan yakıt tüketimi, jeneratör kullanımı, araç yakıt tüketimi, klima ve soğutma sistemleri için satın alınan gaz Kapsam 1 </w:t>
      </w:r>
      <w:proofErr w:type="gramStart"/>
      <w:r w:rsidR="00574FD5" w:rsidRPr="008C68D5">
        <w:rPr>
          <w:rFonts w:ascii="Times New Roman" w:hAnsi="Times New Roman" w:cs="Times New Roman"/>
          <w:color w:val="000000" w:themeColor="text1"/>
        </w:rPr>
        <w:t>emisyonları</w:t>
      </w:r>
      <w:proofErr w:type="gramEnd"/>
      <w:r w:rsidR="00574FD5" w:rsidRPr="008C68D5">
        <w:rPr>
          <w:rFonts w:ascii="Times New Roman" w:hAnsi="Times New Roman" w:cs="Times New Roman"/>
          <w:color w:val="000000" w:themeColor="text1"/>
        </w:rPr>
        <w:t xml:space="preserve"> olarak </w:t>
      </w:r>
      <w:r w:rsidR="001558BE" w:rsidRPr="008C68D5">
        <w:rPr>
          <w:rFonts w:ascii="Times New Roman" w:hAnsi="Times New Roman" w:cs="Times New Roman"/>
          <w:color w:val="000000" w:themeColor="text1"/>
        </w:rPr>
        <w:t>belirlenmiştir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. Yıllık doğal gaz miktarı (Sm3) ve jeneratörlerdeki yakıt tüketimi </w:t>
      </w:r>
      <w:proofErr w:type="gramStart"/>
      <w:r w:rsidR="001558BE" w:rsidRPr="008C68D5">
        <w:rPr>
          <w:rFonts w:ascii="Times New Roman" w:hAnsi="Times New Roman" w:cs="Times New Roman"/>
          <w:color w:val="000000" w:themeColor="text1"/>
        </w:rPr>
        <w:t>e</w:t>
      </w:r>
      <w:r w:rsidR="00574FD5" w:rsidRPr="008C68D5">
        <w:rPr>
          <w:rFonts w:ascii="Times New Roman" w:hAnsi="Times New Roman" w:cs="Times New Roman"/>
          <w:color w:val="000000" w:themeColor="text1"/>
        </w:rPr>
        <w:t>misyon</w:t>
      </w:r>
      <w:proofErr w:type="gramEnd"/>
      <w:r w:rsidR="00574FD5" w:rsidRPr="008C68D5">
        <w:rPr>
          <w:rFonts w:ascii="Times New Roman" w:hAnsi="Times New Roman" w:cs="Times New Roman"/>
          <w:color w:val="000000" w:themeColor="text1"/>
        </w:rPr>
        <w:t xml:space="preserve"> faktörleri, IPCC tarafından 2006 yılında yayınlanan "Sera Gazı </w:t>
      </w:r>
      <w:r w:rsidR="00574FD5" w:rsidRPr="008C68D5">
        <w:rPr>
          <w:rFonts w:ascii="Times New Roman" w:hAnsi="Times New Roman" w:cs="Times New Roman"/>
          <w:color w:val="000000" w:themeColor="text1"/>
        </w:rPr>
        <w:lastRenderedPageBreak/>
        <w:t xml:space="preserve">Hesaplama Envanter </w:t>
      </w:r>
      <w:proofErr w:type="spellStart"/>
      <w:r w:rsidR="00574FD5" w:rsidRPr="008C68D5">
        <w:rPr>
          <w:rFonts w:ascii="Times New Roman" w:hAnsi="Times New Roman" w:cs="Times New Roman"/>
          <w:color w:val="000000" w:themeColor="text1"/>
        </w:rPr>
        <w:t>Kılavuzu"ndan</w:t>
      </w:r>
      <w:proofErr w:type="spellEnd"/>
      <w:r w:rsidR="00574FD5" w:rsidRPr="008C68D5">
        <w:rPr>
          <w:rFonts w:ascii="Times New Roman" w:hAnsi="Times New Roman" w:cs="Times New Roman"/>
          <w:color w:val="000000" w:themeColor="text1"/>
        </w:rPr>
        <w:t xml:space="preserve"> sağlanmıştır. Satın alınan elektrikten (Kapsam 2) kaynaklanan emisyonları hesaplama </w:t>
      </w:r>
      <w:r w:rsidR="00836943" w:rsidRPr="008C68D5">
        <w:rPr>
          <w:rFonts w:ascii="Times New Roman" w:hAnsi="Times New Roman" w:cs="Times New Roman"/>
          <w:color w:val="000000" w:themeColor="text1"/>
        </w:rPr>
        <w:t>ama</w:t>
      </w:r>
      <w:r w:rsidR="008C68D5" w:rsidRPr="008C68D5">
        <w:rPr>
          <w:rFonts w:ascii="Times New Roman" w:hAnsi="Times New Roman" w:cs="Times New Roman"/>
          <w:color w:val="000000" w:themeColor="text1"/>
        </w:rPr>
        <w:t>cıy</w:t>
      </w:r>
      <w:r w:rsidR="00836943" w:rsidRPr="008C68D5">
        <w:rPr>
          <w:rFonts w:ascii="Times New Roman" w:hAnsi="Times New Roman" w:cs="Times New Roman"/>
          <w:color w:val="000000" w:themeColor="text1"/>
        </w:rPr>
        <w:t>la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 Türkiye'de elektrik üretimi sırasında açığa çıkan </w:t>
      </w:r>
      <w:proofErr w:type="gramStart"/>
      <w:r w:rsidR="00574FD5" w:rsidRPr="008C68D5">
        <w:rPr>
          <w:rFonts w:ascii="Times New Roman" w:hAnsi="Times New Roman" w:cs="Times New Roman"/>
          <w:color w:val="000000" w:themeColor="text1"/>
        </w:rPr>
        <w:t>emisyon</w:t>
      </w:r>
      <w:proofErr w:type="gramEnd"/>
      <w:r w:rsidR="00574FD5" w:rsidRPr="008C68D5">
        <w:rPr>
          <w:rFonts w:ascii="Times New Roman" w:hAnsi="Times New Roman" w:cs="Times New Roman"/>
          <w:color w:val="000000" w:themeColor="text1"/>
        </w:rPr>
        <w:t xml:space="preserve"> miktarı 0,496 kg CO</w:t>
      </w:r>
      <w:r w:rsidR="00574FD5" w:rsidRPr="008C68D5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="00574FD5" w:rsidRPr="008C68D5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574FD5" w:rsidRPr="008C68D5">
        <w:rPr>
          <w:rFonts w:ascii="Times New Roman" w:hAnsi="Times New Roman" w:cs="Times New Roman"/>
          <w:color w:val="000000" w:themeColor="text1"/>
        </w:rPr>
        <w:t>kWh</w:t>
      </w:r>
      <w:proofErr w:type="spellEnd"/>
      <w:r w:rsidR="00836943" w:rsidRPr="008C68D5">
        <w:rPr>
          <w:rFonts w:ascii="Times New Roman" w:hAnsi="Times New Roman" w:cs="Times New Roman"/>
          <w:color w:val="000000" w:themeColor="text1"/>
        </w:rPr>
        <w:t xml:space="preserve"> olarak alınmıştır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. </w:t>
      </w:r>
    </w:p>
    <w:p w14:paraId="340F5841" w14:textId="2F234F39" w:rsidR="00527084" w:rsidRPr="008C68D5" w:rsidRDefault="00527084" w:rsidP="0052708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C68D5">
        <w:rPr>
          <w:rFonts w:ascii="Times New Roman" w:hAnsi="Times New Roman" w:cs="Times New Roman"/>
          <w:color w:val="000000" w:themeColor="text1"/>
        </w:rPr>
        <w:t xml:space="preserve">Elde edilen veriler sonucunda Selçuk Üniversitesi'nin 2021 yılı faaliyetlerinden kaynaklanan toplam sera gazı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emisyonları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4</w:t>
      </w:r>
      <w:r w:rsidR="008C68D5" w:rsidRPr="008C68D5">
        <w:rPr>
          <w:rFonts w:ascii="Times New Roman" w:hAnsi="Times New Roman" w:cs="Times New Roman"/>
          <w:color w:val="000000" w:themeColor="text1"/>
        </w:rPr>
        <w:t>4</w:t>
      </w:r>
      <w:r w:rsidRPr="008C68D5">
        <w:rPr>
          <w:rFonts w:ascii="Times New Roman" w:hAnsi="Times New Roman" w:cs="Times New Roman"/>
          <w:color w:val="000000" w:themeColor="text1"/>
        </w:rPr>
        <w:t>.</w:t>
      </w:r>
      <w:r w:rsidR="008C68D5" w:rsidRPr="008C68D5">
        <w:rPr>
          <w:rFonts w:ascii="Times New Roman" w:hAnsi="Times New Roman" w:cs="Times New Roman"/>
          <w:color w:val="000000" w:themeColor="text1"/>
        </w:rPr>
        <w:t>310</w:t>
      </w:r>
      <w:r w:rsidRPr="008C68D5">
        <w:rPr>
          <w:rFonts w:ascii="Times New Roman" w:hAnsi="Times New Roman" w:cs="Times New Roman"/>
          <w:color w:val="000000" w:themeColor="text1"/>
        </w:rPr>
        <w:t xml:space="preserve"> tCO</w:t>
      </w:r>
      <w:r w:rsidRPr="008C68D5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Pr="008C68D5">
        <w:rPr>
          <w:rFonts w:ascii="Times New Roman" w:hAnsi="Times New Roman" w:cs="Times New Roman"/>
          <w:color w:val="000000" w:themeColor="text1"/>
        </w:rPr>
        <w:t>'ye eşit olarak belirlenmiştir. Selçuk Üniversitesi Merkez Kampüsünün 2021 yılındaki toplam karbon ayak izi, Kapsam 1 ve 2 kapsamında 1</w:t>
      </w:r>
      <w:r w:rsidR="008C68D5" w:rsidRPr="008C68D5">
        <w:rPr>
          <w:rFonts w:ascii="Times New Roman" w:hAnsi="Times New Roman" w:cs="Times New Roman"/>
          <w:color w:val="000000" w:themeColor="text1"/>
        </w:rPr>
        <w:t>2</w:t>
      </w:r>
      <w:r w:rsidRPr="008C68D5">
        <w:rPr>
          <w:rFonts w:ascii="Times New Roman" w:hAnsi="Times New Roman" w:cs="Times New Roman"/>
          <w:color w:val="000000" w:themeColor="text1"/>
        </w:rPr>
        <w:t>.</w:t>
      </w:r>
      <w:r w:rsidR="008C68D5" w:rsidRPr="008C68D5">
        <w:rPr>
          <w:rFonts w:ascii="Times New Roman" w:hAnsi="Times New Roman" w:cs="Times New Roman"/>
          <w:color w:val="000000" w:themeColor="text1"/>
        </w:rPr>
        <w:t>974</w:t>
      </w:r>
      <w:r w:rsidRPr="008C68D5">
        <w:rPr>
          <w:rFonts w:ascii="Times New Roman" w:hAnsi="Times New Roman" w:cs="Times New Roman"/>
          <w:color w:val="000000" w:themeColor="text1"/>
        </w:rPr>
        <w:t xml:space="preserve"> t CO</w:t>
      </w:r>
      <w:r w:rsidRPr="008C68D5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Pr="008C68D5">
        <w:rPr>
          <w:rFonts w:ascii="Times New Roman" w:hAnsi="Times New Roman" w:cs="Times New Roman"/>
          <w:color w:val="000000" w:themeColor="text1"/>
        </w:rPr>
        <w:t xml:space="preserve"> olmuştur. Klima ve soğutucu akışkan kaçaklarından kaynaklanan sera gazı, Kapsam 1'de %3'lük pay almıştır. Araç kullanımından kaynaklanan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(mobil yakma) bağlantılı üniversiteye bu faaliyetlerden kaynaklanan emisyonlar %1</w:t>
      </w:r>
      <w:r w:rsidR="008C68D5" w:rsidRPr="008C68D5">
        <w:rPr>
          <w:rFonts w:ascii="Times New Roman" w:hAnsi="Times New Roman" w:cs="Times New Roman"/>
          <w:color w:val="000000" w:themeColor="text1"/>
        </w:rPr>
        <w:t>,3</w:t>
      </w:r>
      <w:r w:rsidRPr="008C68D5">
        <w:rPr>
          <w:rFonts w:ascii="Times New Roman" w:hAnsi="Times New Roman" w:cs="Times New Roman"/>
          <w:color w:val="000000" w:themeColor="text1"/>
        </w:rPr>
        <w:t>'lik kısmı karşılamıştır. Laboratuvar çalışmalarında kullanılan P-10, asetilen ve CO</w:t>
      </w:r>
      <w:r w:rsidRPr="008C68D5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8C68D5">
        <w:rPr>
          <w:rFonts w:ascii="Times New Roman" w:hAnsi="Times New Roman" w:cs="Times New Roman"/>
          <w:color w:val="000000" w:themeColor="text1"/>
        </w:rPr>
        <w:t xml:space="preserve"> gazlarının toplam sera gazı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emisyonlarına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%1</w:t>
      </w:r>
      <w:r w:rsidR="008C68D5" w:rsidRPr="008C68D5">
        <w:rPr>
          <w:rFonts w:ascii="Times New Roman" w:hAnsi="Times New Roman" w:cs="Times New Roman"/>
          <w:color w:val="000000" w:themeColor="text1"/>
        </w:rPr>
        <w:t>,7</w:t>
      </w:r>
      <w:r w:rsidRPr="008C68D5">
        <w:rPr>
          <w:rFonts w:ascii="Times New Roman" w:hAnsi="Times New Roman" w:cs="Times New Roman"/>
          <w:color w:val="000000" w:themeColor="text1"/>
        </w:rPr>
        <w:t xml:space="preserve"> etkisi olmuştur. Dolaylı olarak satın alınan elektrikten kaynaklanan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emisyonların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payı %4</w:t>
      </w:r>
      <w:r w:rsidR="008C68D5" w:rsidRPr="008C68D5">
        <w:rPr>
          <w:rFonts w:ascii="Times New Roman" w:hAnsi="Times New Roman" w:cs="Times New Roman"/>
          <w:color w:val="000000" w:themeColor="text1"/>
        </w:rPr>
        <w:t>2</w:t>
      </w:r>
      <w:r w:rsidRPr="008C68D5">
        <w:rPr>
          <w:rFonts w:ascii="Times New Roman" w:hAnsi="Times New Roman" w:cs="Times New Roman"/>
          <w:color w:val="000000" w:themeColor="text1"/>
        </w:rPr>
        <w:t xml:space="preserve">'dur. Ayrıca araçlarda kullanılan soğutucu gaz R410 ve benzinin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emisyonları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%</w:t>
      </w:r>
      <w:r w:rsidR="008C68D5" w:rsidRPr="008C68D5">
        <w:rPr>
          <w:rFonts w:ascii="Times New Roman" w:hAnsi="Times New Roman" w:cs="Times New Roman"/>
          <w:color w:val="000000" w:themeColor="text1"/>
        </w:rPr>
        <w:t>4</w:t>
      </w:r>
      <w:r w:rsidRPr="008C68D5">
        <w:rPr>
          <w:rFonts w:ascii="Times New Roman" w:hAnsi="Times New Roman" w:cs="Times New Roman"/>
          <w:color w:val="000000" w:themeColor="text1"/>
        </w:rPr>
        <w:t xml:space="preserve">'in altında hesaplanmıştır. R407 ve R134a gibi diğer soğutucu gazların toplam sera gazı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emisyonuna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katkısı %1'den az olmuştur. </w:t>
      </w:r>
    </w:p>
    <w:p w14:paraId="1BC6170F" w14:textId="06EEECAD" w:rsidR="001558BE" w:rsidRPr="002411C9" w:rsidRDefault="0096546C" w:rsidP="008C68D5">
      <w:pPr>
        <w:ind w:firstLine="708"/>
        <w:jc w:val="both"/>
        <w:rPr>
          <w:rFonts w:cstheme="minorHAnsi"/>
          <w:color w:val="000000" w:themeColor="text1"/>
        </w:rPr>
      </w:pPr>
      <w:r w:rsidRPr="008C68D5">
        <w:rPr>
          <w:rFonts w:ascii="Times New Roman" w:hAnsi="Times New Roman" w:cs="Times New Roman"/>
          <w:color w:val="000000" w:themeColor="text1"/>
        </w:rPr>
        <w:t xml:space="preserve">Zorunlu olmamakla birlikte hesaplanan </w:t>
      </w:r>
      <w:r w:rsidR="00527084" w:rsidRPr="008C68D5">
        <w:rPr>
          <w:rFonts w:ascii="Times New Roman" w:hAnsi="Times New Roman" w:cs="Times New Roman"/>
          <w:color w:val="000000" w:themeColor="text1"/>
        </w:rPr>
        <w:t xml:space="preserve">Kapsam 3 kapsamındaki personel taşımacılığının </w:t>
      </w:r>
      <w:r w:rsidR="008C68D5" w:rsidRPr="008C68D5">
        <w:rPr>
          <w:rFonts w:ascii="Times New Roman" w:hAnsi="Times New Roman" w:cs="Times New Roman"/>
          <w:color w:val="000000" w:themeColor="text1"/>
        </w:rPr>
        <w:t>üniversite</w:t>
      </w:r>
      <w:r w:rsidR="00527084" w:rsidRPr="008C68D5">
        <w:rPr>
          <w:rFonts w:ascii="Times New Roman" w:hAnsi="Times New Roman" w:cs="Times New Roman"/>
          <w:color w:val="000000" w:themeColor="text1"/>
        </w:rPr>
        <w:t xml:space="preserve"> topl</w:t>
      </w:r>
      <w:r w:rsidR="000973BF">
        <w:rPr>
          <w:rFonts w:ascii="Times New Roman" w:hAnsi="Times New Roman" w:cs="Times New Roman"/>
          <w:color w:val="000000" w:themeColor="text1"/>
        </w:rPr>
        <w:t xml:space="preserve">am karbon </w:t>
      </w:r>
      <w:proofErr w:type="gramStart"/>
      <w:r w:rsidR="000973BF">
        <w:rPr>
          <w:rFonts w:ascii="Times New Roman" w:hAnsi="Times New Roman" w:cs="Times New Roman"/>
          <w:color w:val="000000" w:themeColor="text1"/>
        </w:rPr>
        <w:t>emisyonu</w:t>
      </w:r>
      <w:proofErr w:type="gramEnd"/>
      <w:r w:rsidR="000973BF">
        <w:rPr>
          <w:rFonts w:ascii="Times New Roman" w:hAnsi="Times New Roman" w:cs="Times New Roman"/>
          <w:color w:val="000000" w:themeColor="text1"/>
        </w:rPr>
        <w:t xml:space="preserve"> içerisinde %12</w:t>
      </w:r>
      <w:r w:rsidR="00527084" w:rsidRPr="008C68D5">
        <w:rPr>
          <w:rFonts w:ascii="Times New Roman" w:hAnsi="Times New Roman" w:cs="Times New Roman"/>
          <w:color w:val="000000" w:themeColor="text1"/>
        </w:rPr>
        <w:t xml:space="preserve"> gibi önemli bir orana sahip olduğu</w:t>
      </w:r>
      <w:r w:rsidR="000973BF">
        <w:rPr>
          <w:rFonts w:ascii="Times New Roman" w:hAnsi="Times New Roman" w:cs="Times New Roman"/>
          <w:color w:val="000000" w:themeColor="text1"/>
        </w:rPr>
        <w:t>nu</w:t>
      </w:r>
      <w:r w:rsidR="00527084" w:rsidRPr="008C68D5">
        <w:rPr>
          <w:rFonts w:ascii="Times New Roman" w:hAnsi="Times New Roman" w:cs="Times New Roman"/>
          <w:color w:val="000000" w:themeColor="text1"/>
        </w:rPr>
        <w:t xml:space="preserve"> ortaya konmuştur. </w:t>
      </w:r>
    </w:p>
    <w:p w14:paraId="15444276" w14:textId="3022CF37" w:rsidR="008558BE" w:rsidRPr="002411C9" w:rsidRDefault="008558BE" w:rsidP="00CC3F2F">
      <w:pPr>
        <w:ind w:firstLine="708"/>
        <w:jc w:val="center"/>
        <w:rPr>
          <w:rFonts w:cstheme="minorHAnsi"/>
          <w:color w:val="000000" w:themeColor="text1"/>
        </w:rPr>
      </w:pPr>
    </w:p>
    <w:sectPr w:rsidR="008558BE" w:rsidRPr="0024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6630"/>
    <w:multiLevelType w:val="multilevel"/>
    <w:tmpl w:val="05F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24FB0"/>
    <w:multiLevelType w:val="multilevel"/>
    <w:tmpl w:val="A768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950A2"/>
    <w:multiLevelType w:val="multilevel"/>
    <w:tmpl w:val="1DC2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C6787"/>
    <w:multiLevelType w:val="multilevel"/>
    <w:tmpl w:val="074E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03E6C"/>
    <w:multiLevelType w:val="multilevel"/>
    <w:tmpl w:val="10D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142A1"/>
    <w:multiLevelType w:val="multilevel"/>
    <w:tmpl w:val="B6B0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B2C32"/>
    <w:multiLevelType w:val="multilevel"/>
    <w:tmpl w:val="772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35BCF"/>
    <w:multiLevelType w:val="multilevel"/>
    <w:tmpl w:val="97D0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89"/>
    <w:rsid w:val="000973BF"/>
    <w:rsid w:val="001558BE"/>
    <w:rsid w:val="00215EB8"/>
    <w:rsid w:val="002411C9"/>
    <w:rsid w:val="0025183D"/>
    <w:rsid w:val="00320CC7"/>
    <w:rsid w:val="003B751A"/>
    <w:rsid w:val="00484EE3"/>
    <w:rsid w:val="004B0255"/>
    <w:rsid w:val="00520669"/>
    <w:rsid w:val="00527084"/>
    <w:rsid w:val="00561342"/>
    <w:rsid w:val="00574FD5"/>
    <w:rsid w:val="006867F7"/>
    <w:rsid w:val="006A443C"/>
    <w:rsid w:val="006E0487"/>
    <w:rsid w:val="00763FF8"/>
    <w:rsid w:val="007A6B52"/>
    <w:rsid w:val="007F7948"/>
    <w:rsid w:val="00827889"/>
    <w:rsid w:val="00836943"/>
    <w:rsid w:val="008558BE"/>
    <w:rsid w:val="008C68D5"/>
    <w:rsid w:val="008D7B24"/>
    <w:rsid w:val="0096546C"/>
    <w:rsid w:val="00A96C9E"/>
    <w:rsid w:val="00B479F5"/>
    <w:rsid w:val="00BA3ED2"/>
    <w:rsid w:val="00BB3191"/>
    <w:rsid w:val="00C7661E"/>
    <w:rsid w:val="00CC3F2F"/>
    <w:rsid w:val="00D65A33"/>
    <w:rsid w:val="00DF49AF"/>
    <w:rsid w:val="00F22083"/>
    <w:rsid w:val="00F2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4DA7"/>
  <w15:chartTrackingRefBased/>
  <w15:docId w15:val="{98382EF5-2798-4644-B9DB-490F3078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8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B751A"/>
    <w:rPr>
      <w:b/>
      <w:bCs/>
    </w:rPr>
  </w:style>
  <w:style w:type="character" w:styleId="Vurgu">
    <w:name w:val="Emphasis"/>
    <w:basedOn w:val="VarsaylanParagrafYazTipi"/>
    <w:uiPriority w:val="20"/>
    <w:qFormat/>
    <w:rsid w:val="003B751A"/>
    <w:rPr>
      <w:i/>
      <w:iCs/>
    </w:rPr>
  </w:style>
  <w:style w:type="paragraph" w:styleId="ListeParagraf">
    <w:name w:val="List Paragraph"/>
    <w:basedOn w:val="Normal"/>
    <w:uiPriority w:val="34"/>
    <w:qFormat/>
    <w:rsid w:val="006A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Kubilay Kurtulus BASTAS</dc:creator>
  <cp:keywords/>
  <dc:description/>
  <cp:lastModifiedBy>Admin</cp:lastModifiedBy>
  <cp:revision>6</cp:revision>
  <dcterms:created xsi:type="dcterms:W3CDTF">2023-07-29T23:43:00Z</dcterms:created>
  <dcterms:modified xsi:type="dcterms:W3CDTF">2025-04-14T12:12:00Z</dcterms:modified>
</cp:coreProperties>
</file>